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APSTIPRINĀTS</w:t>
      </w:r>
    </w:p>
    <w:p w14:paraId="4F166EFC"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ar Nacionālās elektronisko plašsaziņas līdzekļu padomes</w:t>
      </w:r>
    </w:p>
    <w:p w14:paraId="2AACA944" w14:textId="47F4AD22" w:rsidR="006E34C2" w:rsidRPr="00AA15DF" w:rsidRDefault="00CF272F" w:rsidP="006E34C2">
      <w:pPr>
        <w:jc w:val="right"/>
        <w:rPr>
          <w:rFonts w:ascii="Times New Roman" w:hAnsi="Times New Roman"/>
          <w:i/>
          <w:szCs w:val="22"/>
          <w:lang w:val="lv-LV"/>
        </w:rPr>
      </w:pPr>
      <w:r w:rsidRPr="009520CE">
        <w:rPr>
          <w:rFonts w:ascii="Times New Roman" w:hAnsi="Times New Roman"/>
          <w:i/>
          <w:szCs w:val="22"/>
          <w:lang w:val="lv-LV"/>
        </w:rPr>
        <w:t>202</w:t>
      </w:r>
      <w:r w:rsidR="00DF78DA" w:rsidRPr="009520CE">
        <w:rPr>
          <w:rFonts w:ascii="Times New Roman" w:hAnsi="Times New Roman"/>
          <w:i/>
          <w:szCs w:val="22"/>
          <w:lang w:val="lv-LV"/>
        </w:rPr>
        <w:t>2</w:t>
      </w:r>
      <w:r w:rsidR="00427720" w:rsidRPr="009520CE">
        <w:rPr>
          <w:rFonts w:ascii="Times New Roman" w:hAnsi="Times New Roman"/>
          <w:i/>
          <w:szCs w:val="22"/>
          <w:lang w:val="lv-LV"/>
        </w:rPr>
        <w:t>.</w:t>
      </w:r>
      <w:r w:rsidRPr="009520CE">
        <w:rPr>
          <w:rFonts w:ascii="Times New Roman" w:hAnsi="Times New Roman"/>
          <w:i/>
          <w:szCs w:val="22"/>
          <w:lang w:val="lv-LV"/>
        </w:rPr>
        <w:t xml:space="preserve">gada </w:t>
      </w:r>
      <w:r w:rsidR="005C450C" w:rsidRPr="009520CE">
        <w:rPr>
          <w:rFonts w:ascii="Times New Roman" w:hAnsi="Times New Roman"/>
          <w:i/>
          <w:szCs w:val="22"/>
          <w:lang w:val="lv-LV"/>
        </w:rPr>
        <w:t>1</w:t>
      </w:r>
      <w:r w:rsidR="00DF78DA" w:rsidRPr="009520CE">
        <w:rPr>
          <w:rFonts w:ascii="Times New Roman" w:hAnsi="Times New Roman"/>
          <w:i/>
          <w:szCs w:val="22"/>
          <w:lang w:val="lv-LV"/>
        </w:rPr>
        <w:t>3</w:t>
      </w:r>
      <w:r w:rsidR="00427720" w:rsidRPr="009520CE">
        <w:rPr>
          <w:rFonts w:ascii="Times New Roman" w:hAnsi="Times New Roman"/>
          <w:i/>
          <w:szCs w:val="22"/>
          <w:lang w:val="lv-LV"/>
        </w:rPr>
        <w:t>.</w:t>
      </w:r>
      <w:r w:rsidR="00DF78DA" w:rsidRPr="009520CE">
        <w:rPr>
          <w:rFonts w:ascii="Times New Roman" w:hAnsi="Times New Roman"/>
          <w:i/>
          <w:szCs w:val="22"/>
          <w:lang w:val="lv-LV"/>
        </w:rPr>
        <w:t>janvāra</w:t>
      </w:r>
      <w:r w:rsidR="00D3513D" w:rsidRPr="009520CE">
        <w:rPr>
          <w:rFonts w:ascii="Times New Roman" w:hAnsi="Times New Roman"/>
          <w:i/>
          <w:szCs w:val="22"/>
          <w:lang w:val="lv-LV"/>
        </w:rPr>
        <w:t xml:space="preserve"> </w:t>
      </w:r>
      <w:r w:rsidR="006E34C2" w:rsidRPr="009520CE">
        <w:rPr>
          <w:rFonts w:ascii="Times New Roman" w:hAnsi="Times New Roman"/>
          <w:i/>
          <w:szCs w:val="22"/>
          <w:lang w:val="lv-LV"/>
        </w:rPr>
        <w:t>lēmumu</w:t>
      </w:r>
      <w:r w:rsidR="00F535E1" w:rsidRPr="009520CE">
        <w:rPr>
          <w:rFonts w:ascii="Times New Roman" w:hAnsi="Times New Roman"/>
          <w:i/>
          <w:szCs w:val="22"/>
          <w:lang w:val="lv-LV"/>
        </w:rPr>
        <w:t xml:space="preserve"> </w:t>
      </w:r>
      <w:r w:rsidR="00D3513D" w:rsidRPr="009520CE">
        <w:rPr>
          <w:rFonts w:ascii="Times New Roman" w:hAnsi="Times New Roman"/>
          <w:i/>
          <w:szCs w:val="22"/>
          <w:lang w:val="lv-LV"/>
        </w:rPr>
        <w:t>Nr.</w:t>
      </w:r>
      <w:r w:rsidR="00702C0C">
        <w:rPr>
          <w:rFonts w:ascii="Times New Roman" w:hAnsi="Times New Roman"/>
          <w:i/>
          <w:szCs w:val="22"/>
          <w:lang w:val="lv-LV"/>
        </w:rPr>
        <w:t>2</w:t>
      </w:r>
      <w:r w:rsidR="009520CE" w:rsidRPr="009520CE">
        <w:rPr>
          <w:rFonts w:ascii="Times New Roman" w:hAnsi="Times New Roman"/>
          <w:i/>
          <w:szCs w:val="22"/>
          <w:lang w:val="lv-LV"/>
        </w:rPr>
        <w:t>3</w:t>
      </w:r>
      <w:r w:rsidR="00223BC1" w:rsidRPr="009520CE">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69F2A47B"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End w:id="4"/>
      <w:r w:rsidR="00FE4BBF" w:rsidRPr="00FE4BBF">
        <w:rPr>
          <w:rFonts w:ascii="Times New Roman" w:hAnsi="Times New Roman"/>
          <w:b/>
          <w:sz w:val="24"/>
          <w:szCs w:val="24"/>
          <w:lang w:val="lv-LV"/>
        </w:rPr>
        <w:t xml:space="preserve"> </w:t>
      </w:r>
      <w:r w:rsidR="006E242B" w:rsidRPr="006E242B">
        <w:rPr>
          <w:rFonts w:ascii="Times New Roman" w:hAnsi="Times New Roman"/>
          <w:b/>
          <w:sz w:val="24"/>
          <w:szCs w:val="24"/>
          <w:lang w:val="lv-LV"/>
        </w:rPr>
        <w:t>Rēzeknē 96,5</w:t>
      </w:r>
      <w:r w:rsidR="00FE4BBF" w:rsidRPr="00FE4BBF">
        <w:rPr>
          <w:rFonts w:ascii="Times New Roman" w:hAnsi="Times New Roman"/>
          <w:b/>
          <w:sz w:val="24"/>
          <w:szCs w:val="24"/>
          <w:lang w:val="lv-LV"/>
        </w:rPr>
        <w:t xml:space="preserve"> 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603FBFFA" w:rsidR="00851A8C" w:rsidRPr="00B96A0E" w:rsidRDefault="007F6D6E"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 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Pr="00B96A0E">
        <w:rPr>
          <w:rFonts w:ascii="Times New Roman" w:hAnsi="Times New Roman"/>
          <w:sz w:val="24"/>
          <w:szCs w:val="24"/>
          <w:lang w:val="lv-LV"/>
        </w:rPr>
        <w:t>;</w:t>
      </w:r>
    </w:p>
    <w:p w14:paraId="5B9112FE" w14:textId="09AF17BA" w:rsidR="00831CD9" w:rsidRPr="00B96A0E" w:rsidRDefault="00831CD9"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w:t>
      </w:r>
    </w:p>
    <w:p w14:paraId="1E632CE2" w14:textId="542697AF" w:rsidR="00F91603" w:rsidRPr="00B96A0E" w:rsidRDefault="00F91603"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dalības maksu;</w:t>
      </w:r>
    </w:p>
    <w:p w14:paraId="36D7EE6C" w14:textId="57B0380D" w:rsidR="00F91603" w:rsidRPr="00B96A0E" w:rsidRDefault="00F91603" w:rsidP="00F91603">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priekšmetu;</w:t>
      </w:r>
    </w:p>
    <w:p w14:paraId="54AF1405" w14:textId="74CE8492" w:rsidR="00851A8C" w:rsidRPr="00B96A0E" w:rsidRDefault="007F6D6E" w:rsidP="004B70D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Pr="00B96A0E">
        <w:rPr>
          <w:rFonts w:ascii="Times New Roman" w:hAnsi="Times New Roman"/>
          <w:sz w:val="24"/>
          <w:szCs w:val="24"/>
          <w:lang w:val="lv-LV"/>
        </w:rPr>
        <w:t>;</w:t>
      </w:r>
    </w:p>
    <w:p w14:paraId="2541FF09" w14:textId="4AEA3E10" w:rsidR="00584F30" w:rsidRPr="00B96A0E" w:rsidRDefault="004B70DF"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pieteikuma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2E7ABB0F"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DC5FB0">
        <w:rPr>
          <w:rFonts w:ascii="Times New Roman" w:hAnsi="Times New Roman"/>
          <w:sz w:val="24"/>
          <w:szCs w:val="24"/>
          <w:lang w:val="lv-LV"/>
        </w:rPr>
        <w:t xml:space="preserve"> </w:t>
      </w:r>
      <w:r w:rsidR="00B97283" w:rsidRPr="00B97283">
        <w:rPr>
          <w:rFonts w:ascii="Times New Roman" w:hAnsi="Times New Roman"/>
          <w:sz w:val="24"/>
          <w:szCs w:val="24"/>
          <w:lang w:val="lv-LV"/>
        </w:rPr>
        <w:t>Rēzeknē 96,5</w:t>
      </w:r>
      <w:r w:rsidR="00B97283">
        <w:rPr>
          <w:rFonts w:ascii="Times New Roman" w:hAnsi="Times New Roman"/>
          <w:sz w:val="24"/>
          <w:szCs w:val="24"/>
          <w:lang w:val="lv-LV"/>
        </w:rPr>
        <w:t xml:space="preserve"> </w:t>
      </w:r>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4B226F01" w14:textId="3367DA30" w:rsidR="00A32B80" w:rsidRPr="00B96A0E" w:rsidRDefault="00A32B80" w:rsidP="00A32B80">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238D2810" w14:textId="77777777" w:rsidR="00430F82" w:rsidRPr="00B96A0E" w:rsidRDefault="00430F82" w:rsidP="00430F82">
      <w:pPr>
        <w:pStyle w:val="ListParagraph"/>
        <w:spacing w:line="276" w:lineRule="auto"/>
        <w:jc w:val="both"/>
        <w:rPr>
          <w:rFonts w:ascii="Times New Roman" w:hAnsi="Times New Roman"/>
          <w:sz w:val="24"/>
          <w:szCs w:val="24"/>
          <w:lang w:val="lv-LV"/>
        </w:rPr>
      </w:pP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5D14896E"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komerciālu vai nekomerciālu radio programmu,</w:t>
      </w:r>
      <w:r w:rsidR="00375988" w:rsidRPr="00E8265C">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5"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radio programmas veidošanai vai </w:t>
      </w:r>
      <w:bookmarkEnd w:id="5"/>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CB0AD7" w:rsidRPr="00E8265C">
        <w:t xml:space="preserve"> </w:t>
      </w:r>
      <w:r w:rsidR="00CB0AD7" w:rsidRPr="00E8265C">
        <w:rPr>
          <w:rFonts w:ascii="Times New Roman" w:hAnsi="Times New Roman"/>
          <w:sz w:val="24"/>
          <w:szCs w:val="24"/>
          <w:lang w:val="lv-LV"/>
        </w:rPr>
        <w:t xml:space="preserve">Rēzeknē 96,5 </w:t>
      </w:r>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22A69E0A" w:rsidR="001C548E"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4C5D8B" w:rsidRPr="00F86BD7">
        <w:rPr>
          <w:rFonts w:ascii="Times New Roman" w:hAnsi="Times New Roman"/>
          <w:sz w:val="24"/>
          <w:szCs w:val="24"/>
          <w:lang w:val="lv-LV"/>
        </w:rPr>
        <w:t xml:space="preserve"> </w:t>
      </w:r>
      <w:r w:rsidR="00556DA2" w:rsidRPr="00F86BD7">
        <w:rPr>
          <w:rFonts w:ascii="Times New Roman" w:hAnsi="Times New Roman"/>
          <w:sz w:val="24"/>
          <w:szCs w:val="24"/>
          <w:lang w:val="lv-LV"/>
        </w:rPr>
        <w:t>Rēzekne</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6CD37905"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556DA2">
        <w:rPr>
          <w:rFonts w:ascii="Times New Roman" w:hAnsi="Times New Roman"/>
          <w:sz w:val="24"/>
          <w:szCs w:val="24"/>
          <w:lang w:val="lv-LV"/>
        </w:rPr>
        <w:t>Rēzekne</w:t>
      </w:r>
      <w:r w:rsidR="0038237C" w:rsidRPr="00C022D3">
        <w:rPr>
          <w:rFonts w:ascii="Times New Roman" w:hAnsi="Times New Roman"/>
          <w:sz w:val="24"/>
          <w:szCs w:val="24"/>
          <w:lang w:val="lv-LV"/>
        </w:rPr>
        <w:t>;</w:t>
      </w:r>
    </w:p>
    <w:p w14:paraId="11596885" w14:textId="75FD4268"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8C2384" w:rsidRPr="008C2384">
        <w:rPr>
          <w:rFonts w:ascii="Times New Roman" w:hAnsi="Times New Roman"/>
          <w:sz w:val="24"/>
          <w:szCs w:val="24"/>
          <w:lang w:val="lv-LV"/>
        </w:rPr>
        <w:t>9</w:t>
      </w:r>
      <w:r w:rsidR="00556DA2">
        <w:rPr>
          <w:rFonts w:ascii="Times New Roman" w:hAnsi="Times New Roman"/>
          <w:sz w:val="24"/>
          <w:szCs w:val="24"/>
          <w:lang w:val="lv-LV"/>
        </w:rPr>
        <w:t>6</w:t>
      </w:r>
      <w:r w:rsidR="001406EB">
        <w:rPr>
          <w:rFonts w:ascii="Times New Roman" w:hAnsi="Times New Roman"/>
          <w:sz w:val="24"/>
          <w:szCs w:val="24"/>
          <w:lang w:val="lv-LV"/>
        </w:rPr>
        <w:t>,</w:t>
      </w:r>
      <w:r w:rsidR="00556DA2">
        <w:rPr>
          <w:rFonts w:ascii="Times New Roman" w:hAnsi="Times New Roman"/>
          <w:sz w:val="24"/>
          <w:szCs w:val="24"/>
          <w:lang w:val="lv-LV"/>
        </w:rPr>
        <w:t>5</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3B695570"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2F28CE" w:rsidRPr="002F28CE">
        <w:rPr>
          <w:rFonts w:ascii="Times New Roman" w:hAnsi="Times New Roman"/>
          <w:sz w:val="24"/>
          <w:szCs w:val="24"/>
          <w:lang w:val="lv-LV"/>
        </w:rPr>
        <w:t>H</w:t>
      </w:r>
      <w:r w:rsidRPr="002F28CE">
        <w:rPr>
          <w:rFonts w:ascii="Times New Roman" w:hAnsi="Times New Roman"/>
          <w:sz w:val="24"/>
          <w:szCs w:val="24"/>
          <w:lang w:val="lv-LV"/>
        </w:rPr>
        <w:t>;</w:t>
      </w:r>
    </w:p>
    <w:p w14:paraId="64A4E01F" w14:textId="29297EB2"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556DA2">
        <w:rPr>
          <w:rFonts w:ascii="Times New Roman" w:hAnsi="Times New Roman"/>
          <w:sz w:val="24"/>
          <w:szCs w:val="24"/>
          <w:lang w:val="lv-LV"/>
        </w:rPr>
        <w:t>166</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7EB16F48"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556DA2">
        <w:rPr>
          <w:rFonts w:ascii="Times New Roman" w:hAnsi="Times New Roman"/>
          <w:sz w:val="24"/>
          <w:szCs w:val="24"/>
          <w:lang w:val="lv-LV"/>
        </w:rPr>
        <w:t>38</w:t>
      </w:r>
      <w:r w:rsidR="001406EB">
        <w:rPr>
          <w:rFonts w:ascii="Times New Roman" w:hAnsi="Times New Roman"/>
          <w:sz w:val="24"/>
          <w:szCs w:val="24"/>
          <w:lang w:val="lv-LV"/>
        </w:rPr>
        <w:t>-</w:t>
      </w:r>
      <w:r w:rsidR="00556DA2">
        <w:rPr>
          <w:rFonts w:ascii="Times New Roman" w:hAnsi="Times New Roman"/>
          <w:sz w:val="24"/>
          <w:szCs w:val="24"/>
          <w:lang w:val="lv-LV"/>
        </w:rPr>
        <w:t>40</w:t>
      </w:r>
      <w:r w:rsidR="00B10C1F" w:rsidRPr="008C2384">
        <w:rPr>
          <w:rFonts w:ascii="Times New Roman" w:hAnsi="Times New Roman"/>
          <w:sz w:val="24"/>
          <w:szCs w:val="24"/>
          <w:lang w:val="lv-LV"/>
        </w:rPr>
        <w:t>;</w:t>
      </w:r>
    </w:p>
    <w:p w14:paraId="232EB1D9" w14:textId="2D48C102"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2F28CE">
        <w:rPr>
          <w:rFonts w:ascii="Times New Roman" w:hAnsi="Times New Roman"/>
          <w:sz w:val="24"/>
          <w:szCs w:val="24"/>
          <w:lang w:val="lv-LV"/>
        </w:rPr>
        <w:t>4</w:t>
      </w:r>
      <w:r w:rsidR="00556DA2">
        <w:rPr>
          <w:rFonts w:ascii="Times New Roman" w:hAnsi="Times New Roman"/>
          <w:sz w:val="24"/>
          <w:szCs w:val="24"/>
          <w:lang w:val="lv-LV"/>
        </w:rPr>
        <w:t>2</w:t>
      </w:r>
      <w:r w:rsidR="00A756F4" w:rsidRPr="008C2384">
        <w:rPr>
          <w:rFonts w:ascii="Times New Roman" w:hAnsi="Times New Roman"/>
          <w:sz w:val="24"/>
          <w:szCs w:val="24"/>
          <w:lang w:val="lv-LV"/>
        </w:rPr>
        <w:t>-</w:t>
      </w:r>
      <w:r w:rsidR="00556DA2">
        <w:rPr>
          <w:rFonts w:ascii="Times New Roman" w:hAnsi="Times New Roman"/>
          <w:sz w:val="24"/>
          <w:szCs w:val="24"/>
          <w:lang w:val="lv-LV"/>
        </w:rPr>
        <w:t>4</w:t>
      </w:r>
      <w:r w:rsidR="002F28CE">
        <w:rPr>
          <w:rFonts w:ascii="Times New Roman" w:hAnsi="Times New Roman"/>
          <w:sz w:val="24"/>
          <w:szCs w:val="24"/>
          <w:lang w:val="lv-LV"/>
        </w:rPr>
        <w:t>8</w:t>
      </w:r>
      <w:r w:rsidRPr="008C2384">
        <w:rPr>
          <w:rFonts w:ascii="Times New Roman" w:hAnsi="Times New Roman"/>
          <w:sz w:val="24"/>
          <w:szCs w:val="24"/>
          <w:lang w:val="lv-LV"/>
        </w:rPr>
        <w:t xml:space="preserve"> 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2CC327E1"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pieteikuma</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0E5BAEA0"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3C2778" w:rsidRPr="0087463C">
        <w:rPr>
          <w:rFonts w:ascii="Times New Roman" w:hAnsi="Times New Roman"/>
          <w:sz w:val="24"/>
          <w:szCs w:val="24"/>
          <w:lang w:val="lv-LV"/>
        </w:rPr>
        <w:t xml:space="preserve"> </w:t>
      </w:r>
      <w:r w:rsidR="00245EA2" w:rsidRPr="0087463C">
        <w:rPr>
          <w:rFonts w:ascii="Times New Roman" w:hAnsi="Times New Roman"/>
          <w:sz w:val="24"/>
          <w:szCs w:val="24"/>
          <w:lang w:val="lv-LV"/>
        </w:rPr>
        <w:t xml:space="preserve">pieteikuma </w:t>
      </w:r>
      <w:r w:rsidR="00A95FDB" w:rsidRPr="0087463C">
        <w:rPr>
          <w:rFonts w:ascii="Times New Roman" w:hAnsi="Times New Roman"/>
          <w:sz w:val="24"/>
          <w:szCs w:val="24"/>
          <w:lang w:val="lv-LV"/>
        </w:rPr>
        <w:t xml:space="preserve">iesniegšanas 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F2467">
        <w:rPr>
          <w:rFonts w:ascii="Times New Roman" w:hAnsi="Times New Roman"/>
          <w:b/>
          <w:sz w:val="24"/>
          <w:szCs w:val="24"/>
          <w:lang w:val="lv-LV"/>
        </w:rPr>
        <w:t>3</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428F163B"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var mainīt vai atsaukt savu pieteikumu pirms pieteikuma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2E570219" w14:textId="5F8E3764" w:rsidR="00511D8D" w:rsidRPr="006662C4" w:rsidRDefault="00FE1EED" w:rsidP="00511D8D">
      <w:pPr>
        <w:pStyle w:val="ListParagraph"/>
        <w:numPr>
          <w:ilvl w:val="0"/>
          <w:numId w:val="2"/>
        </w:numPr>
        <w:spacing w:line="276" w:lineRule="auto"/>
        <w:jc w:val="both"/>
        <w:rPr>
          <w:rFonts w:ascii="Times New Roman" w:hAnsi="Times New Roman"/>
          <w:sz w:val="24"/>
          <w:szCs w:val="24"/>
          <w:lang w:val="lv-LV"/>
        </w:rPr>
      </w:pPr>
      <w:bookmarkStart w:id="6" w:name="_Hlk47445289"/>
      <w:r w:rsidRPr="006662C4">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3" w:history="1">
        <w:r w:rsidR="00967395" w:rsidRPr="006662C4">
          <w:rPr>
            <w:rStyle w:val="Hyperlink"/>
            <w:rFonts w:ascii="Times New Roman" w:hAnsi="Times New Roman"/>
            <w:sz w:val="24"/>
            <w:szCs w:val="24"/>
            <w:lang w:val="lv-LV"/>
          </w:rPr>
          <w:t>konkursi@neplpadome.lv</w:t>
        </w:r>
      </w:hyperlink>
      <w:r w:rsidR="00967395" w:rsidRPr="006662C4">
        <w:rPr>
          <w:rFonts w:ascii="Times New Roman" w:hAnsi="Times New Roman"/>
          <w:sz w:val="24"/>
          <w:szCs w:val="24"/>
          <w:lang w:val="lv-LV"/>
        </w:rPr>
        <w:t xml:space="preserve"> </w:t>
      </w:r>
      <w:r w:rsidR="00E81569" w:rsidRPr="006662C4">
        <w:rPr>
          <w:rFonts w:ascii="Times New Roman" w:hAnsi="Times New Roman"/>
          <w:sz w:val="24"/>
          <w:szCs w:val="24"/>
          <w:lang w:val="lv-LV"/>
        </w:rPr>
        <w:t>ar norādi “</w:t>
      </w:r>
      <w:r w:rsidR="00050B27" w:rsidRPr="006662C4">
        <w:rPr>
          <w:rFonts w:ascii="Times New Roman" w:hAnsi="Times New Roman"/>
          <w:i/>
          <w:iCs/>
          <w:sz w:val="24"/>
          <w:szCs w:val="24"/>
          <w:lang w:val="lv-LV"/>
        </w:rPr>
        <w:t xml:space="preserve">Apraides tiesību piešķiršana radio programmas veidošanai vai apraides aptveršanas zonas palielināšanai </w:t>
      </w:r>
      <w:r w:rsidR="006F2467" w:rsidRPr="006662C4">
        <w:rPr>
          <w:rFonts w:ascii="Times New Roman" w:hAnsi="Times New Roman"/>
          <w:i/>
          <w:iCs/>
          <w:sz w:val="24"/>
          <w:szCs w:val="24"/>
          <w:lang w:val="lv-LV"/>
        </w:rPr>
        <w:t xml:space="preserve">Rēzeknē 96,5 </w:t>
      </w:r>
      <w:r w:rsidR="00050B27" w:rsidRPr="006662C4">
        <w:rPr>
          <w:rFonts w:ascii="Times New Roman" w:hAnsi="Times New Roman"/>
          <w:i/>
          <w:iCs/>
          <w:sz w:val="24"/>
          <w:szCs w:val="24"/>
          <w:lang w:val="lv-LV"/>
        </w:rPr>
        <w:t>MHz frekvencē</w:t>
      </w:r>
      <w:r w:rsidR="00E81569" w:rsidRPr="006662C4">
        <w:rPr>
          <w:rFonts w:ascii="Times New Roman" w:hAnsi="Times New Roman"/>
          <w:sz w:val="24"/>
          <w:szCs w:val="24"/>
          <w:lang w:val="lv-LV"/>
        </w:rPr>
        <w:t xml:space="preserve">”. </w:t>
      </w:r>
      <w:r w:rsidRPr="006662C4">
        <w:rPr>
          <w:rFonts w:ascii="Times New Roman" w:hAnsi="Times New Roman"/>
          <w:sz w:val="24"/>
          <w:szCs w:val="24"/>
          <w:lang w:val="lv-LV"/>
        </w:rPr>
        <w:t>Konkursa piedāvājumu vienā elektroniski parakstītā datnē elektroniski paraksta Pretendenta paraksttiesīgā persona.</w:t>
      </w:r>
      <w:bookmarkEnd w:id="6"/>
      <w:r w:rsidR="006662C4" w:rsidRPr="006662C4">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DEFD297" w14:textId="77777777" w:rsidR="006662C4" w:rsidRPr="006662C4" w:rsidRDefault="006662C4" w:rsidP="006662C4">
      <w:pPr>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225FB33E"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890FDA">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5B260EDE"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 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4ED302FA"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Pieteikumi,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639E669A"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7"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pieteikumu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7"/>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2D048C">
        <w:rPr>
          <w:rFonts w:ascii="Times New Roman" w:hAnsi="Times New Roman"/>
          <w:sz w:val="24"/>
          <w:szCs w:val="24"/>
          <w:lang w:val="lv-LV"/>
        </w:rPr>
        <w:t>3</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70079302"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986A9B" w:rsidRPr="004F2635">
        <w:rPr>
          <w:rFonts w:ascii="Times New Roman" w:hAnsi="Times New Roman"/>
          <w:sz w:val="24"/>
          <w:szCs w:val="24"/>
          <w:lang w:val="lv-LV"/>
        </w:rPr>
        <w:t xml:space="preserve"> </w:t>
      </w:r>
      <w:r w:rsidRPr="004F2635">
        <w:rPr>
          <w:rFonts w:ascii="Times New Roman" w:hAnsi="Times New Roman"/>
          <w:sz w:val="24"/>
          <w:szCs w:val="24"/>
          <w:lang w:val="lv-LV"/>
        </w:rPr>
        <w:t>atver</w:t>
      </w:r>
      <w:r w:rsidR="00456274" w:rsidRPr="004F2635">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w:t>
      </w:r>
      <w:r w:rsidRPr="00D4236A">
        <w:rPr>
          <w:rFonts w:ascii="Times New Roman" w:hAnsi="Times New Roman"/>
          <w:sz w:val="24"/>
          <w:szCs w:val="24"/>
          <w:lang w:val="lv-LV"/>
        </w:rPr>
        <w:lastRenderedPageBreak/>
        <w:t xml:space="preserve">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77777777" w:rsidR="009A2BDC" w:rsidRDefault="00C02567"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Ja vismaz vienā no nolikuma Pielikuma Nr.2 1.,</w:t>
      </w:r>
      <w:r w:rsidR="00AE5DE0" w:rsidRPr="009A2BDC">
        <w:rPr>
          <w:rFonts w:ascii="Times New Roman" w:hAnsi="Times New Roman"/>
          <w:sz w:val="24"/>
          <w:szCs w:val="24"/>
          <w:lang w:val="lv-LV"/>
        </w:rPr>
        <w:t xml:space="preserve"> </w:t>
      </w:r>
      <w:r w:rsidRPr="009A2BDC">
        <w:rPr>
          <w:rFonts w:ascii="Times New Roman" w:hAnsi="Times New Roman"/>
          <w:sz w:val="24"/>
          <w:szCs w:val="24"/>
          <w:lang w:val="lv-LV"/>
        </w:rPr>
        <w:t xml:space="preserve">2. un 3.punktā noteiktajiem kritērijiem </w:t>
      </w:r>
      <w:r w:rsidR="00943096" w:rsidRPr="009A2BDC">
        <w:rPr>
          <w:rFonts w:ascii="Times New Roman" w:hAnsi="Times New Roman"/>
          <w:sz w:val="24"/>
          <w:szCs w:val="24"/>
          <w:lang w:val="lv-LV"/>
        </w:rPr>
        <w:t xml:space="preserve">vidējais </w:t>
      </w:r>
      <w:r w:rsidRPr="009A2BDC">
        <w:rPr>
          <w:rFonts w:ascii="Times New Roman" w:hAnsi="Times New Roman"/>
          <w:sz w:val="24"/>
          <w:szCs w:val="24"/>
          <w:lang w:val="lv-LV"/>
        </w:rPr>
        <w:t>iegū</w:t>
      </w:r>
      <w:r w:rsidR="004B6EFA" w:rsidRPr="009A2BDC">
        <w:rPr>
          <w:rFonts w:ascii="Times New Roman" w:hAnsi="Times New Roman"/>
          <w:sz w:val="24"/>
          <w:szCs w:val="24"/>
          <w:lang w:val="lv-LV"/>
        </w:rPr>
        <w:t xml:space="preserve">tais punktu skaits </w:t>
      </w:r>
      <w:r w:rsidR="00AE5DE0" w:rsidRPr="009A2BDC">
        <w:rPr>
          <w:rFonts w:ascii="Times New Roman" w:hAnsi="Times New Roman"/>
          <w:sz w:val="24"/>
          <w:szCs w:val="24"/>
          <w:lang w:val="lv-LV"/>
        </w:rPr>
        <w:t xml:space="preserve">ir mazāks par </w:t>
      </w:r>
      <w:r w:rsidR="00456274" w:rsidRPr="009A2BDC">
        <w:rPr>
          <w:rFonts w:ascii="Times New Roman" w:hAnsi="Times New Roman"/>
          <w:sz w:val="24"/>
          <w:szCs w:val="24"/>
          <w:lang w:val="lv-LV"/>
        </w:rPr>
        <w:t>2</w:t>
      </w:r>
      <w:r w:rsidR="00AE5DE0" w:rsidRPr="009A2BDC">
        <w:rPr>
          <w:rFonts w:ascii="Times New Roman" w:hAnsi="Times New Roman"/>
          <w:sz w:val="24"/>
          <w:szCs w:val="24"/>
          <w:lang w:val="lv-LV"/>
        </w:rPr>
        <w:t xml:space="preserve"> punktiem</w:t>
      </w:r>
      <w:r w:rsidRPr="009A2BDC">
        <w:rPr>
          <w:rFonts w:ascii="Times New Roman" w:hAnsi="Times New Roman"/>
          <w:sz w:val="24"/>
          <w:szCs w:val="24"/>
          <w:lang w:val="lv-LV"/>
        </w:rPr>
        <w:t xml:space="preserve"> (iegūti 0-</w:t>
      </w:r>
      <w:r w:rsidR="00456274"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 punktu skaits citiem Pielikumā Nr.2 noteiktajiem kritērijiem nav jānosaka, pārtraucot pretendenta </w:t>
      </w:r>
      <w:r w:rsidR="00863FE6" w:rsidRPr="009A2BDC">
        <w:rPr>
          <w:rFonts w:ascii="Times New Roman" w:hAnsi="Times New Roman"/>
          <w:sz w:val="24"/>
          <w:szCs w:val="24"/>
          <w:lang w:val="lv-LV"/>
        </w:rPr>
        <w:t>pieteikuma</w:t>
      </w:r>
      <w:r w:rsidRPr="009A2BDC">
        <w:rPr>
          <w:rFonts w:ascii="Times New Roman" w:hAnsi="Times New Roman"/>
          <w:sz w:val="24"/>
          <w:szCs w:val="24"/>
          <w:lang w:val="lv-LV"/>
        </w:rPr>
        <w:t xml:space="preserve"> 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054B38BE"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konkursa pieteikumu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40E7EFF2"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Pretendentam, </w:t>
      </w:r>
      <w:r w:rsidRPr="0062020B">
        <w:rPr>
          <w:rFonts w:ascii="Times New Roman" w:hAnsi="Times New Roman"/>
          <w:sz w:val="24"/>
          <w:szCs w:val="24"/>
          <w:lang w:val="lv-LV"/>
        </w:rPr>
        <w:t>kurš uzvarējis konkursā, ir jāuzsāk apraide</w:t>
      </w:r>
      <w:r w:rsidR="00AC5083">
        <w:rPr>
          <w:rFonts w:ascii="Times New Roman" w:hAnsi="Times New Roman"/>
          <w:sz w:val="24"/>
          <w:szCs w:val="24"/>
          <w:lang w:val="lv-LV"/>
        </w:rPr>
        <w:t xml:space="preserve"> </w:t>
      </w:r>
      <w:r w:rsidR="002D048C" w:rsidRPr="002D048C">
        <w:rPr>
          <w:rFonts w:ascii="Times New Roman" w:hAnsi="Times New Roman"/>
          <w:sz w:val="24"/>
          <w:szCs w:val="24"/>
          <w:lang w:val="lv-LV"/>
        </w:rPr>
        <w:t>Rēzeknē 96,5</w:t>
      </w:r>
      <w:r w:rsidR="002D048C">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2B19C6D7" w14:textId="77777777" w:rsidR="00104CBD" w:rsidRDefault="00104CBD" w:rsidP="00AA15DF">
      <w:pPr>
        <w:spacing w:after="160" w:line="259" w:lineRule="auto"/>
        <w:jc w:val="right"/>
        <w:rPr>
          <w:rFonts w:ascii="Times New Roman" w:hAnsi="Times New Roman"/>
          <w:i/>
          <w:sz w:val="20"/>
          <w:szCs w:val="24"/>
          <w:u w:val="single"/>
          <w:lang w:val="lv-LV"/>
        </w:rPr>
      </w:pPr>
    </w:p>
    <w:p w14:paraId="1A73D506" w14:textId="77777777" w:rsidR="00104CBD" w:rsidRDefault="00104CBD" w:rsidP="00AA15DF">
      <w:pPr>
        <w:spacing w:after="160" w:line="259" w:lineRule="auto"/>
        <w:jc w:val="right"/>
        <w:rPr>
          <w:rFonts w:ascii="Times New Roman" w:hAnsi="Times New Roman"/>
          <w:i/>
          <w:sz w:val="20"/>
          <w:szCs w:val="24"/>
          <w:u w:val="single"/>
          <w:lang w:val="lv-LV"/>
        </w:rPr>
      </w:pPr>
    </w:p>
    <w:p w14:paraId="1E5B0D7B" w14:textId="59F4ABE8"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 xml:space="preserve">Pielikums Nr.1 </w:t>
      </w:r>
    </w:p>
    <w:p w14:paraId="5571E2FC" w14:textId="7F6F9A13"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 xml:space="preserve">konkursa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96,5</w:t>
      </w:r>
      <w:r w:rsidR="002D048C">
        <w:rPr>
          <w:rFonts w:ascii="Times New Roman" w:hAnsi="Times New Roman"/>
          <w:i/>
          <w:sz w:val="20"/>
          <w:lang w:val="lv-LV"/>
        </w:rPr>
        <w:t xml:space="preserve"> </w:t>
      </w:r>
      <w:r w:rsidR="00AC5083" w:rsidRPr="00AC5083">
        <w:rPr>
          <w:rFonts w:ascii="Times New Roman" w:hAnsi="Times New Roman"/>
          <w:i/>
          <w:sz w:val="20"/>
          <w:lang w:val="lv-LV"/>
        </w:rPr>
        <w:t>MHz frekvencē</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0D1DCB2C" w14:textId="4B2AF3CC" w:rsidR="002B6FCF" w:rsidRPr="002C2BAF" w:rsidRDefault="002B6FCF" w:rsidP="002B6FCF">
      <w:pPr>
        <w:spacing w:line="276" w:lineRule="auto"/>
        <w:jc w:val="right"/>
        <w:rPr>
          <w:rFonts w:ascii="Times New Roman" w:hAnsi="Times New Roman"/>
          <w:sz w:val="20"/>
          <w:szCs w:val="24"/>
          <w:lang w:val="lv-LV"/>
        </w:rPr>
      </w:pPr>
    </w:p>
    <w:p w14:paraId="49D7BB44" w14:textId="3BD5A36D" w:rsidR="009833AF" w:rsidRPr="007559D3" w:rsidRDefault="009833AF" w:rsidP="002B6FCF">
      <w:pPr>
        <w:spacing w:line="276" w:lineRule="auto"/>
        <w:jc w:val="right"/>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8"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8"/>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D07D3BE" w14:textId="19FD92F3" w:rsidR="002B6FCF" w:rsidRPr="002C2BAF" w:rsidRDefault="009B7D64" w:rsidP="002B6FC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 xml:space="preserve">Apraides tiesību piešķiršana radio programmas veidošanai vai apraides aptveršanas zonas palielināšanai </w:t>
      </w:r>
      <w:r w:rsidR="002D048C" w:rsidRPr="002D048C">
        <w:rPr>
          <w:rFonts w:ascii="Times New Roman" w:hAnsi="Times New Roman"/>
          <w:b/>
          <w:sz w:val="26"/>
          <w:szCs w:val="26"/>
          <w:lang w:val="lv-LV"/>
        </w:rPr>
        <w:t>Rēzeknē 96,5</w:t>
      </w:r>
      <w:r w:rsidR="002D048C">
        <w:rPr>
          <w:rFonts w:ascii="Times New Roman" w:hAnsi="Times New Roman"/>
          <w:b/>
          <w:sz w:val="26"/>
          <w:szCs w:val="26"/>
          <w:lang w:val="lv-LV"/>
        </w:rPr>
        <w:t xml:space="preserve"> </w:t>
      </w:r>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0052DE11" w14:textId="77777777" w:rsidR="002B6FCF" w:rsidRPr="002C2BAF" w:rsidRDefault="002B6FCF" w:rsidP="002B6FCF">
      <w:pPr>
        <w:spacing w:line="276" w:lineRule="auto"/>
        <w:jc w:val="both"/>
        <w:rPr>
          <w:rFonts w:ascii="Times New Roman" w:hAnsi="Times New Roman"/>
          <w:sz w:val="24"/>
          <w:szCs w:val="24"/>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445306D6"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 pieteikumā</w:t>
      </w:r>
      <w:r w:rsidRPr="007F43C8">
        <w:rPr>
          <w:rFonts w:ascii="Times New Roman" w:hAnsi="Times New Roman"/>
          <w:sz w:val="24"/>
          <w:szCs w:val="24"/>
          <w:lang w:val="lv-LV"/>
        </w:rPr>
        <w:t xml:space="preserve"> iesniegtās ziņas par pretendentu un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 xml:space="preserve"> ir patiesas;</w:t>
      </w:r>
    </w:p>
    <w:p w14:paraId="3ED21569" w14:textId="00E243FE"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56EFDBF8" w14:textId="77777777" w:rsidR="00AA15DF" w:rsidRDefault="00AA15DF" w:rsidP="00BC65B4">
      <w:pPr>
        <w:spacing w:after="160" w:line="259" w:lineRule="auto"/>
        <w:jc w:val="right"/>
        <w:rPr>
          <w:rFonts w:ascii="Times New Roman" w:hAnsi="Times New Roman"/>
          <w:i/>
          <w:sz w:val="20"/>
          <w:szCs w:val="24"/>
          <w:u w:val="single"/>
          <w:lang w:val="lv-LV"/>
        </w:rPr>
      </w:pPr>
    </w:p>
    <w:p w14:paraId="1867B663" w14:textId="1A47FE34"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443528BC" w:rsidR="002A4EAB" w:rsidRPr="002C2BAF" w:rsidRDefault="002A4EAB" w:rsidP="00F93295">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511C53">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96,5</w:t>
      </w:r>
      <w:r w:rsidR="002D048C">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p w14:paraId="320C8B88" w14:textId="1E3A56C0" w:rsidR="00557B4B" w:rsidRPr="007F43C8" w:rsidRDefault="00094E12" w:rsidP="00557B4B">
      <w:pPr>
        <w:spacing w:line="276" w:lineRule="auto"/>
        <w:jc w:val="center"/>
        <w:rPr>
          <w:rFonts w:ascii="Times New Roman" w:hAnsi="Times New Roman"/>
          <w:b/>
          <w:sz w:val="26"/>
          <w:szCs w:val="26"/>
          <w:lang w:val="lv-LV"/>
        </w:rPr>
      </w:pPr>
      <w:r w:rsidRPr="007F43C8">
        <w:rPr>
          <w:rFonts w:ascii="Times New Roman" w:hAnsi="Times New Roman"/>
          <w:b/>
          <w:sz w:val="26"/>
          <w:szCs w:val="26"/>
          <w:lang w:val="lv-LV"/>
        </w:rPr>
        <w:t>Pieteikuma</w:t>
      </w:r>
      <w:r w:rsidR="0078067F" w:rsidRPr="007F43C8">
        <w:rPr>
          <w:rFonts w:ascii="Times New Roman" w:hAnsi="Times New Roman"/>
          <w:b/>
          <w:sz w:val="26"/>
          <w:szCs w:val="26"/>
          <w:lang w:val="lv-LV"/>
        </w:rPr>
        <w:t xml:space="preserve"> v</w:t>
      </w:r>
      <w:r w:rsidR="00557B4B" w:rsidRPr="007F43C8">
        <w:rPr>
          <w:rFonts w:ascii="Times New Roman" w:hAnsi="Times New Roman"/>
          <w:b/>
          <w:sz w:val="26"/>
          <w:szCs w:val="26"/>
          <w:lang w:val="lv-LV"/>
        </w:rPr>
        <w:t>ērtēšanas kritēriji</w:t>
      </w:r>
    </w:p>
    <w:p w14:paraId="67F02E1A" w14:textId="0127F199" w:rsidR="00557B4B" w:rsidRPr="007559D3" w:rsidRDefault="00557B4B" w:rsidP="00557B4B">
      <w:pPr>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841"/>
        <w:gridCol w:w="5533"/>
        <w:gridCol w:w="2551"/>
      </w:tblGrid>
      <w:tr w:rsidR="00637BEB" w:rsidRPr="007F43C8" w14:paraId="1F862254" w14:textId="2151E04D" w:rsidTr="00637BEB">
        <w:tc>
          <w:tcPr>
            <w:tcW w:w="841" w:type="dxa"/>
            <w:shd w:val="clear" w:color="auto" w:fill="D9D9D9" w:themeFill="background1" w:themeFillShade="D9"/>
            <w:vAlign w:val="center"/>
          </w:tcPr>
          <w:p w14:paraId="54C0C5C5" w14:textId="5BA2A604" w:rsidR="00637BEB" w:rsidRPr="007F43C8" w:rsidRDefault="00637BEB" w:rsidP="00E00C7F">
            <w:pPr>
              <w:spacing w:line="276" w:lineRule="auto"/>
              <w:jc w:val="center"/>
              <w:rPr>
                <w:rFonts w:ascii="Times New Roman" w:hAnsi="Times New Roman"/>
                <w:b/>
                <w:sz w:val="24"/>
                <w:szCs w:val="24"/>
                <w:lang w:val="lv-LV"/>
              </w:rPr>
            </w:pPr>
            <w:bookmarkStart w:id="9" w:name="_Hlk482440061"/>
            <w:r w:rsidRPr="007F43C8">
              <w:rPr>
                <w:rFonts w:ascii="Times New Roman" w:hAnsi="Times New Roman"/>
                <w:b/>
                <w:sz w:val="24"/>
                <w:szCs w:val="24"/>
                <w:lang w:val="lv-LV"/>
              </w:rPr>
              <w:t>Nr. p. k.</w:t>
            </w:r>
          </w:p>
        </w:tc>
        <w:tc>
          <w:tcPr>
            <w:tcW w:w="5533" w:type="dxa"/>
            <w:shd w:val="clear" w:color="auto" w:fill="D9D9D9" w:themeFill="background1" w:themeFillShade="D9"/>
            <w:vAlign w:val="center"/>
          </w:tcPr>
          <w:p w14:paraId="6E0E01D5" w14:textId="36617B37" w:rsidR="00637BEB" w:rsidRPr="007F43C8" w:rsidRDefault="00637BEB" w:rsidP="00974F6D">
            <w:pPr>
              <w:spacing w:line="276" w:lineRule="auto"/>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2551" w:type="dxa"/>
            <w:shd w:val="clear" w:color="auto" w:fill="D9D9D9" w:themeFill="background1" w:themeFillShade="D9"/>
            <w:vAlign w:val="center"/>
          </w:tcPr>
          <w:p w14:paraId="2A692A3D" w14:textId="384A40F9" w:rsidR="00637BEB" w:rsidRPr="007F43C8" w:rsidRDefault="00637BEB" w:rsidP="002B58E2">
            <w:pPr>
              <w:spacing w:line="276" w:lineRule="auto"/>
              <w:rPr>
                <w:rFonts w:ascii="Times New Roman" w:hAnsi="Times New Roman"/>
                <w:b/>
                <w:sz w:val="24"/>
                <w:szCs w:val="24"/>
                <w:lang w:val="lv-LV"/>
              </w:rPr>
            </w:pPr>
            <w:r w:rsidRPr="007F43C8">
              <w:rPr>
                <w:rFonts w:ascii="Times New Roman" w:hAnsi="Times New Roman"/>
                <w:b/>
                <w:sz w:val="24"/>
                <w:szCs w:val="24"/>
                <w:lang w:val="lv-LV"/>
              </w:rPr>
              <w:t>Individuālais pieteikuma vērtējums</w:t>
            </w:r>
          </w:p>
        </w:tc>
      </w:tr>
      <w:tr w:rsidR="00637BEB" w:rsidRPr="007F43C8" w14:paraId="2D1D7A63" w14:textId="4CB93BDD" w:rsidTr="00637BEB">
        <w:tc>
          <w:tcPr>
            <w:tcW w:w="841" w:type="dxa"/>
            <w:shd w:val="clear" w:color="auto" w:fill="auto"/>
            <w:vAlign w:val="center"/>
          </w:tcPr>
          <w:p w14:paraId="0B58EBB8" w14:textId="54874CD0"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1.</w:t>
            </w:r>
          </w:p>
        </w:tc>
        <w:tc>
          <w:tcPr>
            <w:tcW w:w="5533" w:type="dxa"/>
            <w:shd w:val="clear" w:color="auto" w:fill="auto"/>
            <w:vAlign w:val="center"/>
          </w:tcPr>
          <w:p w14:paraId="69DFD16C" w14:textId="77777777" w:rsidR="00637BEB" w:rsidRPr="007F43C8" w:rsidRDefault="00637BEB" w:rsidP="009B7D64">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Atbilstība konkursa mērķim un mērķa realizācijai</w:t>
            </w:r>
          </w:p>
          <w:p w14:paraId="6D57B5BA" w14:textId="1D9C7A97" w:rsidR="00637BEB" w:rsidRPr="007F43C8" w:rsidRDefault="00637BEB" w:rsidP="009B7D64">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w:t>
            </w:r>
            <w:r w:rsidRPr="048D940C">
              <w:rPr>
                <w:rFonts w:ascii="Times New Roman" w:hAnsi="Times New Roman"/>
                <w:sz w:val="24"/>
                <w:szCs w:val="24"/>
                <w:lang w:val="lv-LV"/>
              </w:rPr>
              <w:t xml:space="preserve">tajā skaitā ziņas, </w:t>
            </w:r>
            <w:r w:rsidRPr="007F43C8">
              <w:rPr>
                <w:rFonts w:ascii="Times New Roman" w:hAnsi="Times New Roman"/>
                <w:sz w:val="24"/>
                <w:szCs w:val="24"/>
                <w:lang w:val="lv-LV"/>
              </w:rPr>
              <w:t>kas atbilst demokrātiskām vērtībām un stiprina Latvijas nacionālo kultūrtelpu (0-4* punkti)</w:t>
            </w:r>
          </w:p>
        </w:tc>
        <w:tc>
          <w:tcPr>
            <w:tcW w:w="2551" w:type="dxa"/>
            <w:shd w:val="clear" w:color="auto" w:fill="auto"/>
            <w:vAlign w:val="center"/>
          </w:tcPr>
          <w:p w14:paraId="58E39023"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7BC06B60" w14:textId="527312B3" w:rsidTr="00637BEB">
        <w:tc>
          <w:tcPr>
            <w:tcW w:w="841" w:type="dxa"/>
            <w:vAlign w:val="center"/>
          </w:tcPr>
          <w:p w14:paraId="1CCDE74A" w14:textId="509F14C3"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2.</w:t>
            </w:r>
          </w:p>
        </w:tc>
        <w:tc>
          <w:tcPr>
            <w:tcW w:w="5533" w:type="dxa"/>
            <w:vAlign w:val="center"/>
          </w:tcPr>
          <w:p w14:paraId="49022667" w14:textId="67733CB1"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Programmas formāts un tā aktualitāte, nepieciešamība reģionā, sasniedzamā auditorija</w:t>
            </w:r>
          </w:p>
          <w:p w14:paraId="77DFC4E2" w14:textId="3E5E218C" w:rsidR="00637BEB" w:rsidRPr="007F43C8" w:rsidRDefault="00637BEB" w:rsidP="00DC31F5">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Tiek vērtēts pretendenta iesniegtais programmas attīstības plāns, kurā atspoguļota informācija par konkrētās programmas nepieciešamību reģionā, kā arī par mērķauditoriju, norādot, ar kādiem rīkiem to plānots sasniegt. (0-4* punkti)</w:t>
            </w:r>
          </w:p>
        </w:tc>
        <w:tc>
          <w:tcPr>
            <w:tcW w:w="2551" w:type="dxa"/>
            <w:vAlign w:val="center"/>
          </w:tcPr>
          <w:p w14:paraId="5E91002B"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0AC24A90" w14:textId="7B0D70F4" w:rsidTr="00637BEB">
        <w:tc>
          <w:tcPr>
            <w:tcW w:w="841" w:type="dxa"/>
            <w:vAlign w:val="center"/>
          </w:tcPr>
          <w:p w14:paraId="48EFDF4D" w14:textId="0EFCE53D"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3.</w:t>
            </w:r>
          </w:p>
        </w:tc>
        <w:tc>
          <w:tcPr>
            <w:tcW w:w="5533" w:type="dxa"/>
            <w:vAlign w:val="center"/>
          </w:tcPr>
          <w:p w14:paraId="34E463AB"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Finansiālais nodrošinājums, darbības ilgtspēja</w:t>
            </w:r>
          </w:p>
          <w:p w14:paraId="355663D1" w14:textId="56161747" w:rsidR="00637BEB" w:rsidRPr="007F43C8" w:rsidRDefault="00637BEB" w:rsidP="00E62547">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rīcībā ir pietiekami finansiālie resursi (redzams bankas izziņā/gada pārskatā/operatīvajā bilancē) (0-4* punkti)</w:t>
            </w:r>
          </w:p>
        </w:tc>
        <w:tc>
          <w:tcPr>
            <w:tcW w:w="2551" w:type="dxa"/>
            <w:vAlign w:val="center"/>
          </w:tcPr>
          <w:p w14:paraId="4E401068"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33225B49" w14:textId="71EAE348" w:rsidTr="00637BEB">
        <w:tc>
          <w:tcPr>
            <w:tcW w:w="841" w:type="dxa"/>
            <w:vAlign w:val="center"/>
          </w:tcPr>
          <w:p w14:paraId="78296DFA" w14:textId="03D197D2" w:rsidR="00637BEB" w:rsidRPr="007F43C8" w:rsidRDefault="00637BEB" w:rsidP="00CC3B69">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4.</w:t>
            </w:r>
          </w:p>
        </w:tc>
        <w:tc>
          <w:tcPr>
            <w:tcW w:w="5533" w:type="dxa"/>
            <w:vAlign w:val="center"/>
          </w:tcPr>
          <w:p w14:paraId="4B87729F" w14:textId="792D2C2E" w:rsidR="00637BEB" w:rsidRPr="007F43C8" w:rsidRDefault="00637BEB" w:rsidP="00DC31F5">
            <w:pPr>
              <w:spacing w:line="276" w:lineRule="auto"/>
              <w:jc w:val="both"/>
              <w:rPr>
                <w:rFonts w:ascii="Times New Roman" w:hAnsi="Times New Roman"/>
                <w:sz w:val="24"/>
                <w:szCs w:val="24"/>
                <w:u w:val="single"/>
                <w:lang w:val="lv-LV"/>
              </w:rPr>
            </w:pPr>
            <w:r w:rsidRPr="2E404C09">
              <w:rPr>
                <w:rFonts w:ascii="Times New Roman" w:hAnsi="Times New Roman"/>
                <w:sz w:val="24"/>
                <w:szCs w:val="24"/>
                <w:u w:val="single"/>
                <w:lang w:val="lv-LV"/>
              </w:rPr>
              <w:t>Konkursa pretendenta līdzšinējā pieredze un kompetence, t.sk., radošā personāla pieredze un kompetence</w:t>
            </w:r>
          </w:p>
          <w:p w14:paraId="1FE44873" w14:textId="416AA0C5" w:rsidR="00637BEB" w:rsidRPr="007F43C8" w:rsidRDefault="00637BEB" w:rsidP="00DC31F5">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līdzšinējā attīstība, būtiskākie sasniegumi, līdzšinējais pienesums sabiedrībai kopumā. (0-4 punkti)</w:t>
            </w:r>
          </w:p>
        </w:tc>
        <w:tc>
          <w:tcPr>
            <w:tcW w:w="2551" w:type="dxa"/>
            <w:vAlign w:val="center"/>
          </w:tcPr>
          <w:p w14:paraId="13BC1FF3" w14:textId="77777777" w:rsidR="00637BEB" w:rsidRPr="007F43C8" w:rsidRDefault="00637BEB" w:rsidP="00CC3B69">
            <w:pPr>
              <w:spacing w:line="276" w:lineRule="auto"/>
              <w:rPr>
                <w:rFonts w:ascii="Times New Roman" w:hAnsi="Times New Roman"/>
                <w:sz w:val="24"/>
                <w:szCs w:val="24"/>
                <w:lang w:val="lv-LV"/>
              </w:rPr>
            </w:pPr>
          </w:p>
        </w:tc>
      </w:tr>
      <w:tr w:rsidR="00637BEB" w:rsidRPr="007F43C8" w14:paraId="4A2EAF0C" w14:textId="2F73FE23" w:rsidTr="00637BEB">
        <w:tc>
          <w:tcPr>
            <w:tcW w:w="841" w:type="dxa"/>
            <w:vAlign w:val="center"/>
          </w:tcPr>
          <w:p w14:paraId="119C322B" w14:textId="6D96DF64"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5.</w:t>
            </w:r>
          </w:p>
        </w:tc>
        <w:tc>
          <w:tcPr>
            <w:tcW w:w="5533" w:type="dxa"/>
            <w:vAlign w:val="center"/>
          </w:tcPr>
          <w:p w14:paraId="701E8DFC"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Tehniskais nodrošinājums</w:t>
            </w:r>
          </w:p>
          <w:p w14:paraId="303D6607" w14:textId="705C7702" w:rsidR="00637BEB" w:rsidRPr="007F43C8" w:rsidRDefault="00637BEB" w:rsidP="00134991">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Pretendents ir apliecinājis, ka tam ir nepieciešamais resurss, lai nodrošinātu radio programmas veidošanu vai apraides aptveršanas zonas palielināšanu un radio programmas apraidi. (0-4 punkti)</w:t>
            </w:r>
          </w:p>
        </w:tc>
        <w:tc>
          <w:tcPr>
            <w:tcW w:w="2551" w:type="dxa"/>
            <w:vAlign w:val="center"/>
          </w:tcPr>
          <w:p w14:paraId="3E7FDC2E" w14:textId="77777777" w:rsidR="00637BEB" w:rsidRPr="007F43C8" w:rsidRDefault="00637BEB" w:rsidP="00F83685">
            <w:pPr>
              <w:spacing w:line="276" w:lineRule="auto"/>
              <w:rPr>
                <w:rFonts w:ascii="Times New Roman" w:hAnsi="Times New Roman"/>
                <w:sz w:val="24"/>
                <w:szCs w:val="24"/>
                <w:lang w:val="lv-LV"/>
              </w:rPr>
            </w:pPr>
          </w:p>
        </w:tc>
      </w:tr>
      <w:tr w:rsidR="00637BEB" w:rsidRPr="007F43C8" w14:paraId="3CF307AF" w14:textId="05DD6AC6" w:rsidTr="00637BEB">
        <w:tc>
          <w:tcPr>
            <w:tcW w:w="6374" w:type="dxa"/>
            <w:gridSpan w:val="2"/>
            <w:vAlign w:val="center"/>
          </w:tcPr>
          <w:p w14:paraId="75333EBE" w14:textId="16D8971C" w:rsidR="00637BEB" w:rsidRPr="007F43C8" w:rsidRDefault="00637BEB" w:rsidP="00E62547">
            <w:pPr>
              <w:spacing w:line="276" w:lineRule="auto"/>
              <w:jc w:val="right"/>
              <w:rPr>
                <w:rFonts w:ascii="Times New Roman" w:hAnsi="Times New Roman"/>
                <w:b/>
                <w:sz w:val="24"/>
                <w:szCs w:val="24"/>
                <w:u w:val="single"/>
                <w:lang w:val="lv-LV"/>
              </w:rPr>
            </w:pPr>
            <w:r w:rsidRPr="007F43C8">
              <w:rPr>
                <w:rFonts w:ascii="Times New Roman" w:hAnsi="Times New Roman"/>
                <w:b/>
                <w:sz w:val="24"/>
                <w:szCs w:val="24"/>
                <w:lang w:val="lv-LV"/>
              </w:rPr>
              <w:t>Punkti kopā</w:t>
            </w:r>
          </w:p>
        </w:tc>
        <w:tc>
          <w:tcPr>
            <w:tcW w:w="2551" w:type="dxa"/>
            <w:vAlign w:val="center"/>
          </w:tcPr>
          <w:p w14:paraId="49FAFE1A" w14:textId="77777777" w:rsidR="00637BEB" w:rsidRPr="007F43C8" w:rsidRDefault="00637BEB" w:rsidP="00F83685">
            <w:pPr>
              <w:spacing w:line="276" w:lineRule="auto"/>
              <w:rPr>
                <w:rFonts w:ascii="Times New Roman" w:hAnsi="Times New Roman"/>
                <w:sz w:val="24"/>
                <w:szCs w:val="24"/>
                <w:lang w:val="lv-LV"/>
              </w:rPr>
            </w:pPr>
          </w:p>
        </w:tc>
      </w:tr>
      <w:bookmarkEnd w:id="9"/>
    </w:tbl>
    <w:p w14:paraId="746C30AD" w14:textId="24D40F93" w:rsidR="00557B4B" w:rsidRPr="007559D3" w:rsidRDefault="00557B4B" w:rsidP="00F27F58">
      <w:pPr>
        <w:spacing w:line="276" w:lineRule="auto"/>
        <w:jc w:val="both"/>
        <w:rPr>
          <w:rFonts w:ascii="Times New Roman" w:hAnsi="Times New Roman"/>
          <w:sz w:val="24"/>
          <w:szCs w:val="24"/>
          <w:highlight w:val="yellow"/>
          <w:lang w:val="lv-LV"/>
        </w:rPr>
      </w:pPr>
    </w:p>
    <w:p w14:paraId="16046188" w14:textId="74295F3A" w:rsidR="00C02567" w:rsidRPr="007F43C8" w:rsidRDefault="00C02567" w:rsidP="00BB4EB6">
      <w:pPr>
        <w:spacing w:line="276" w:lineRule="auto"/>
        <w:ind w:left="-284"/>
        <w:jc w:val="both"/>
        <w:rPr>
          <w:rFonts w:ascii="Times New Roman" w:hAnsi="Times New Roman"/>
          <w:sz w:val="24"/>
          <w:szCs w:val="24"/>
          <w:lang w:val="lv-LV"/>
        </w:rPr>
      </w:pPr>
      <w:r w:rsidRPr="007F43C8">
        <w:rPr>
          <w:rFonts w:ascii="Times New Roman" w:hAnsi="Times New Roman"/>
          <w:sz w:val="24"/>
          <w:szCs w:val="24"/>
          <w:lang w:val="lv-LV"/>
        </w:rPr>
        <w:t xml:space="preserve">*Ja pretendents saņem tādu vērtējumu (Padomes locekļu vērtējums dalīts ar to Padomes locekļu skaitu, kas piedalās vērtēšanā), kas ir mazāks par </w:t>
      </w:r>
      <w:r w:rsidR="003B7AEA" w:rsidRPr="009A2BDC">
        <w:rPr>
          <w:rFonts w:ascii="Times New Roman" w:hAnsi="Times New Roman"/>
          <w:sz w:val="24"/>
          <w:szCs w:val="24"/>
          <w:lang w:val="lv-LV"/>
        </w:rPr>
        <w:t>2</w:t>
      </w:r>
      <w:r w:rsidRPr="009A2BDC">
        <w:rPr>
          <w:rFonts w:ascii="Times New Roman" w:hAnsi="Times New Roman"/>
          <w:sz w:val="24"/>
          <w:szCs w:val="24"/>
          <w:lang w:val="lv-LV"/>
        </w:rPr>
        <w:t xml:space="preserve"> punktiem (0-</w:t>
      </w:r>
      <w:r w:rsidR="003B7AEA"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w:t>
      </w:r>
      <w:r w:rsidRPr="007F43C8">
        <w:rPr>
          <w:rFonts w:ascii="Times New Roman" w:hAnsi="Times New Roman"/>
          <w:sz w:val="24"/>
          <w:szCs w:val="24"/>
          <w:lang w:val="lv-LV"/>
        </w:rPr>
        <w:t xml:space="preserve"> punktu skaits citiem noteiktajiem kritērijiem nav jānosaka, pārtraucot pretendenta pieteikuma vērtēšanu.</w:t>
      </w:r>
    </w:p>
    <w:p w14:paraId="3FF2D065" w14:textId="77777777" w:rsidR="001D1A64" w:rsidRPr="007F43C8" w:rsidRDefault="001D1A64" w:rsidP="00F27F58">
      <w:pPr>
        <w:spacing w:line="276" w:lineRule="auto"/>
        <w:jc w:val="both"/>
        <w:rPr>
          <w:rFonts w:ascii="Times New Roman" w:hAnsi="Times New Roman"/>
          <w:sz w:val="24"/>
          <w:szCs w:val="24"/>
          <w:lang w:val="lv-LV"/>
        </w:rPr>
      </w:pPr>
    </w:p>
    <w:p w14:paraId="6D48D20A" w14:textId="77777777"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Vērtēšanas kritēriji:</w:t>
      </w:r>
    </w:p>
    <w:p w14:paraId="1DAEB070" w14:textId="7660831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0 punkti – netiek sniegta nekāda informācija vai informācija ir pilnībā neatbilstoša.</w:t>
      </w:r>
    </w:p>
    <w:p w14:paraId="51B37441" w14:textId="79FA2739"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1 punkts – piedāvājumā sniegtā informācija norāda, ka piedāvājumam ir būtiski trūkumi, lai sasniegtu noteikto rezultātu.</w:t>
      </w:r>
    </w:p>
    <w:p w14:paraId="6C7FCAF6" w14:textId="2F3A19D8"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2 punkti – piedāvājumā sniegtā informācija norāda, ka piedāvājumam ir daļēji trūkumi, lai sasniegtu noteikto rezultātu.</w:t>
      </w:r>
    </w:p>
    <w:p w14:paraId="7D9A280A" w14:textId="6841959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 xml:space="preserve">3 punkti – piedāvājumā sniegtā informācija </w:t>
      </w:r>
      <w:r w:rsidR="004C2BB0" w:rsidRPr="007F43C8">
        <w:rPr>
          <w:rFonts w:ascii="Times New Roman" w:hAnsi="Times New Roman"/>
          <w:sz w:val="24"/>
          <w:szCs w:val="24"/>
          <w:lang w:val="lv-LV"/>
        </w:rPr>
        <w:t>rada pārliecību</w:t>
      </w:r>
      <w:r w:rsidRPr="007F43C8">
        <w:rPr>
          <w:rFonts w:ascii="Times New Roman" w:hAnsi="Times New Roman"/>
          <w:sz w:val="24"/>
          <w:szCs w:val="24"/>
          <w:lang w:val="lv-LV"/>
        </w:rPr>
        <w:t>, ka noteiktais rezultāts tiks sasniegts.</w:t>
      </w:r>
    </w:p>
    <w:p w14:paraId="26FAF390" w14:textId="75A2E16E" w:rsidR="001B459F" w:rsidRPr="00281294"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4 punkti – piedāvājumā sniegtā informācija pilnībā un pārliecinoši norāda, ka rezultāts tiks sasniegts.</w:t>
      </w:r>
    </w:p>
    <w:p w14:paraId="04AF1FD7" w14:textId="77777777" w:rsidR="00D53636" w:rsidRPr="00281294" w:rsidRDefault="00D53636" w:rsidP="00C02567">
      <w:pPr>
        <w:spacing w:after="160" w:line="259" w:lineRule="auto"/>
        <w:jc w:val="both"/>
        <w:rPr>
          <w:rFonts w:ascii="Times New Roman" w:hAnsi="Times New Roman"/>
          <w:sz w:val="24"/>
          <w:szCs w:val="24"/>
          <w:lang w:val="lv-LV"/>
        </w:rPr>
      </w:pPr>
    </w:p>
    <w:sectPr w:rsidR="00D53636" w:rsidRPr="00281294"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D325" w14:textId="77777777" w:rsidR="007977E3" w:rsidRDefault="007977E3" w:rsidP="00851A8C">
      <w:r>
        <w:separator/>
      </w:r>
    </w:p>
  </w:endnote>
  <w:endnote w:type="continuationSeparator" w:id="0">
    <w:p w14:paraId="72C85A57" w14:textId="77777777" w:rsidR="007977E3" w:rsidRDefault="007977E3" w:rsidP="00851A8C">
      <w:r>
        <w:continuationSeparator/>
      </w:r>
    </w:p>
  </w:endnote>
  <w:endnote w:type="continuationNotice" w:id="1">
    <w:p w14:paraId="7DD2274F" w14:textId="77777777" w:rsidR="007977E3" w:rsidRDefault="0079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63C4" w14:textId="77777777" w:rsidR="007977E3" w:rsidRDefault="007977E3" w:rsidP="00851A8C">
      <w:r>
        <w:separator/>
      </w:r>
    </w:p>
  </w:footnote>
  <w:footnote w:type="continuationSeparator" w:id="0">
    <w:p w14:paraId="44DC98D0" w14:textId="77777777" w:rsidR="007977E3" w:rsidRDefault="007977E3" w:rsidP="00851A8C">
      <w:r>
        <w:continuationSeparator/>
      </w:r>
    </w:p>
  </w:footnote>
  <w:footnote w:type="continuationNotice" w:id="1">
    <w:p w14:paraId="572F7681" w14:textId="77777777" w:rsidR="007977E3" w:rsidRDefault="007977E3"/>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4CBD"/>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7DF4"/>
    <w:rsid w:val="002713EA"/>
    <w:rsid w:val="00273667"/>
    <w:rsid w:val="0027716D"/>
    <w:rsid w:val="00281294"/>
    <w:rsid w:val="00282A0C"/>
    <w:rsid w:val="002836AC"/>
    <w:rsid w:val="00285736"/>
    <w:rsid w:val="0028744C"/>
    <w:rsid w:val="00291E95"/>
    <w:rsid w:val="00295B51"/>
    <w:rsid w:val="002974FD"/>
    <w:rsid w:val="00297BC1"/>
    <w:rsid w:val="002A4E02"/>
    <w:rsid w:val="002A4EAB"/>
    <w:rsid w:val="002B0F71"/>
    <w:rsid w:val="002B11BA"/>
    <w:rsid w:val="002B3CAB"/>
    <w:rsid w:val="002B58E2"/>
    <w:rsid w:val="002B6FCF"/>
    <w:rsid w:val="002C169B"/>
    <w:rsid w:val="002C1811"/>
    <w:rsid w:val="002C2BAF"/>
    <w:rsid w:val="002D048C"/>
    <w:rsid w:val="002D08A1"/>
    <w:rsid w:val="002D2AD3"/>
    <w:rsid w:val="002E0477"/>
    <w:rsid w:val="002E2189"/>
    <w:rsid w:val="002F28CE"/>
    <w:rsid w:val="00302C36"/>
    <w:rsid w:val="00304304"/>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F1D14"/>
    <w:rsid w:val="003F1F15"/>
    <w:rsid w:val="003F32C3"/>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54C3"/>
    <w:rsid w:val="005C5F06"/>
    <w:rsid w:val="005C7239"/>
    <w:rsid w:val="005D0E0B"/>
    <w:rsid w:val="005D13A4"/>
    <w:rsid w:val="005D15B1"/>
    <w:rsid w:val="005D7FCA"/>
    <w:rsid w:val="005E1907"/>
    <w:rsid w:val="005E1B30"/>
    <w:rsid w:val="005E1E93"/>
    <w:rsid w:val="005E3D56"/>
    <w:rsid w:val="005E3E67"/>
    <w:rsid w:val="005E5704"/>
    <w:rsid w:val="005E614D"/>
    <w:rsid w:val="005E6C46"/>
    <w:rsid w:val="00600E9E"/>
    <w:rsid w:val="00605000"/>
    <w:rsid w:val="0060699E"/>
    <w:rsid w:val="00607634"/>
    <w:rsid w:val="006141AD"/>
    <w:rsid w:val="006169CB"/>
    <w:rsid w:val="0062020B"/>
    <w:rsid w:val="00621B34"/>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62C4"/>
    <w:rsid w:val="006674B8"/>
    <w:rsid w:val="006704C3"/>
    <w:rsid w:val="006715EC"/>
    <w:rsid w:val="006719DB"/>
    <w:rsid w:val="00674C01"/>
    <w:rsid w:val="00676084"/>
    <w:rsid w:val="00680116"/>
    <w:rsid w:val="00680CBE"/>
    <w:rsid w:val="006825D6"/>
    <w:rsid w:val="00683968"/>
    <w:rsid w:val="00683AFC"/>
    <w:rsid w:val="00686173"/>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34C2"/>
    <w:rsid w:val="006E4888"/>
    <w:rsid w:val="006F2467"/>
    <w:rsid w:val="006F28F0"/>
    <w:rsid w:val="006F5627"/>
    <w:rsid w:val="006F5928"/>
    <w:rsid w:val="006F5F0A"/>
    <w:rsid w:val="006F72EC"/>
    <w:rsid w:val="00702C0C"/>
    <w:rsid w:val="00706533"/>
    <w:rsid w:val="00707510"/>
    <w:rsid w:val="00712C47"/>
    <w:rsid w:val="00715EC3"/>
    <w:rsid w:val="00717DDA"/>
    <w:rsid w:val="0072313B"/>
    <w:rsid w:val="00730C50"/>
    <w:rsid w:val="0075228A"/>
    <w:rsid w:val="00753AD0"/>
    <w:rsid w:val="007559D3"/>
    <w:rsid w:val="0076017F"/>
    <w:rsid w:val="007642C8"/>
    <w:rsid w:val="00776C0F"/>
    <w:rsid w:val="0078067F"/>
    <w:rsid w:val="00783B25"/>
    <w:rsid w:val="0078426E"/>
    <w:rsid w:val="007871C8"/>
    <w:rsid w:val="00791120"/>
    <w:rsid w:val="007932ED"/>
    <w:rsid w:val="0079359C"/>
    <w:rsid w:val="007944DF"/>
    <w:rsid w:val="0079693F"/>
    <w:rsid w:val="007977E3"/>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0FDA"/>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2198"/>
    <w:rsid w:val="00943096"/>
    <w:rsid w:val="009503C3"/>
    <w:rsid w:val="009520CE"/>
    <w:rsid w:val="009520F6"/>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3EEF"/>
    <w:rsid w:val="009E5100"/>
    <w:rsid w:val="009E5A73"/>
    <w:rsid w:val="009E65E4"/>
    <w:rsid w:val="009E7EAC"/>
    <w:rsid w:val="009F2296"/>
    <w:rsid w:val="009F40AD"/>
    <w:rsid w:val="009F62ED"/>
    <w:rsid w:val="009F73D7"/>
    <w:rsid w:val="009F77DA"/>
    <w:rsid w:val="009F77E5"/>
    <w:rsid w:val="00A028C2"/>
    <w:rsid w:val="00A12A4D"/>
    <w:rsid w:val="00A12B6F"/>
    <w:rsid w:val="00A144C7"/>
    <w:rsid w:val="00A1637D"/>
    <w:rsid w:val="00A16AB7"/>
    <w:rsid w:val="00A16DD4"/>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4700"/>
    <w:rsid w:val="00A65536"/>
    <w:rsid w:val="00A67840"/>
    <w:rsid w:val="00A756F4"/>
    <w:rsid w:val="00A77D3A"/>
    <w:rsid w:val="00A8645C"/>
    <w:rsid w:val="00A93980"/>
    <w:rsid w:val="00A95FDB"/>
    <w:rsid w:val="00A96132"/>
    <w:rsid w:val="00AA15DF"/>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F1F"/>
    <w:rsid w:val="00B150C5"/>
    <w:rsid w:val="00B16870"/>
    <w:rsid w:val="00B218A1"/>
    <w:rsid w:val="00B23924"/>
    <w:rsid w:val="00B24D3D"/>
    <w:rsid w:val="00B2517F"/>
    <w:rsid w:val="00B26656"/>
    <w:rsid w:val="00B311E3"/>
    <w:rsid w:val="00B336D3"/>
    <w:rsid w:val="00B34941"/>
    <w:rsid w:val="00B34B52"/>
    <w:rsid w:val="00B35A57"/>
    <w:rsid w:val="00B3663D"/>
    <w:rsid w:val="00B47806"/>
    <w:rsid w:val="00B50C7E"/>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B070A"/>
    <w:rsid w:val="00BB4EB6"/>
    <w:rsid w:val="00BC36DC"/>
    <w:rsid w:val="00BC6426"/>
    <w:rsid w:val="00BC65B4"/>
    <w:rsid w:val="00BD0D9A"/>
    <w:rsid w:val="00BD6103"/>
    <w:rsid w:val="00BD78A1"/>
    <w:rsid w:val="00BE0E56"/>
    <w:rsid w:val="00BE4C84"/>
    <w:rsid w:val="00BE5BEE"/>
    <w:rsid w:val="00BF50A2"/>
    <w:rsid w:val="00BF54F5"/>
    <w:rsid w:val="00BF653C"/>
    <w:rsid w:val="00C0013C"/>
    <w:rsid w:val="00C01158"/>
    <w:rsid w:val="00C022D3"/>
    <w:rsid w:val="00C02567"/>
    <w:rsid w:val="00C03BB3"/>
    <w:rsid w:val="00C05628"/>
    <w:rsid w:val="00C12CE8"/>
    <w:rsid w:val="00C13639"/>
    <w:rsid w:val="00C16935"/>
    <w:rsid w:val="00C16EE7"/>
    <w:rsid w:val="00C1789A"/>
    <w:rsid w:val="00C22039"/>
    <w:rsid w:val="00C22A22"/>
    <w:rsid w:val="00C24C08"/>
    <w:rsid w:val="00C32CE5"/>
    <w:rsid w:val="00C367F4"/>
    <w:rsid w:val="00C37283"/>
    <w:rsid w:val="00C474BD"/>
    <w:rsid w:val="00C50A2C"/>
    <w:rsid w:val="00C51140"/>
    <w:rsid w:val="00C56278"/>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32B6"/>
    <w:rsid w:val="00CC0931"/>
    <w:rsid w:val="00CC0A2C"/>
    <w:rsid w:val="00CC3B69"/>
    <w:rsid w:val="00CD08B4"/>
    <w:rsid w:val="00CD2E2F"/>
    <w:rsid w:val="00CE1068"/>
    <w:rsid w:val="00CE5F95"/>
    <w:rsid w:val="00CF20E6"/>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19A4"/>
    <w:rsid w:val="00DC31F5"/>
    <w:rsid w:val="00DC37EE"/>
    <w:rsid w:val="00DC5D0F"/>
    <w:rsid w:val="00DC5DBE"/>
    <w:rsid w:val="00DC5FB0"/>
    <w:rsid w:val="00DC69D8"/>
    <w:rsid w:val="00DC7BAD"/>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1EBF"/>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81569"/>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62AD"/>
    <w:rsid w:val="00FA7C3B"/>
    <w:rsid w:val="00FB179F"/>
    <w:rsid w:val="00FB1822"/>
    <w:rsid w:val="00FC02B4"/>
    <w:rsid w:val="00FC33BE"/>
    <w:rsid w:val="00FC5D8C"/>
    <w:rsid w:val="00FE033D"/>
    <w:rsid w:val="00FE1EED"/>
    <w:rsid w:val="00FE2CDD"/>
    <w:rsid w:val="00FE4BBF"/>
    <w:rsid w:val="00FE661D"/>
    <w:rsid w:val="00FE7078"/>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customXml/itemProps2.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F47C7-39B2-4913-B4C7-1BFFAA37AC0D}">
  <ds:schemaRefs>
    <ds:schemaRef ds:uri="http://schemas.microsoft.com/sharepoint/v3/contenttype/forms"/>
  </ds:schemaRefs>
</ds:datastoreItem>
</file>

<file path=customXml/itemProps4.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2180</Words>
  <Characters>12428</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114</cp:revision>
  <cp:lastPrinted>2018-06-25T20:55:00Z</cp:lastPrinted>
  <dcterms:created xsi:type="dcterms:W3CDTF">2021-09-21T13:19:00Z</dcterms:created>
  <dcterms:modified xsi:type="dcterms:W3CDTF">2022-01-13T09:13:00Z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